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9" w:rsidRPr="003C0A99" w:rsidRDefault="003C0A99" w:rsidP="003C0A9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A0A0A"/>
          <w:sz w:val="16"/>
          <w:szCs w:val="16"/>
        </w:rPr>
      </w:pPr>
      <w:r>
        <w:rPr>
          <w:rFonts w:ascii="Arial" w:eastAsia="Times New Roman" w:hAnsi="Arial" w:cs="Arial"/>
          <w:noProof/>
          <w:color w:val="0A0A0A"/>
          <w:sz w:val="16"/>
          <w:szCs w:val="16"/>
        </w:rPr>
        <w:drawing>
          <wp:inline distT="0" distB="0" distL="0" distR="0">
            <wp:extent cx="666750" cy="730250"/>
            <wp:effectExtent l="19050" t="0" r="0" b="0"/>
            <wp:docPr id="1" name="Рисунок 1" descr="https://www.kler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rk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99" w:rsidRPr="003C0A99" w:rsidRDefault="003C0A99" w:rsidP="003C0A99">
      <w:pPr>
        <w:shd w:val="clear" w:color="auto" w:fill="FFFFFF"/>
        <w:spacing w:after="120" w:line="400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36"/>
          <w:szCs w:val="36"/>
        </w:rPr>
      </w:pPr>
      <w:r w:rsidRPr="003C0A99">
        <w:rPr>
          <w:rFonts w:ascii="Georgia" w:eastAsia="Times New Roman" w:hAnsi="Georgia" w:cs="Arial"/>
          <w:b/>
          <w:bCs/>
          <w:color w:val="0A0A0A"/>
          <w:kern w:val="36"/>
          <w:sz w:val="36"/>
          <w:szCs w:val="36"/>
        </w:rPr>
        <w:t>Федеральная налоговая служба: Письмо № СД-4-3/4924@ от 19.03.2019</w:t>
      </w:r>
    </w:p>
    <w:p w:rsidR="003C0A99" w:rsidRPr="003C0A99" w:rsidRDefault="003C0A99" w:rsidP="003C0A99">
      <w:pPr>
        <w:shd w:val="clear" w:color="auto" w:fill="FFFFFF"/>
        <w:spacing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Федеральная налоговая служба  в связи с вступлением  в силу Приказа ФНС России от 28.12.2018 №  СА-7-3/853@ «О внесении изменений  в приложения к приказу Федеральной налоговой службы от 29.10.2014 № ММВ-7-3/558@» (зарегистрирован Минюстом России 28 января 2019 года, регистрационный номер 53586) (далее - Приказ № СА-7-3/853@) сообщает следующее.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1. </w:t>
      </w:r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В соответствии с пунктом 2 Приказа № СА-7-3/853@ данный документ вступает в силу по истечении двух месяцев со дня официального опубликования и применяется, начиная с представления налоговой декларации по налогу на добавленную стоимость за 1 квартал 2019 года (опубликован на официальном </w:t>
      </w:r>
      <w:proofErr w:type="spell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интернет-портале</w:t>
      </w:r>
      <w:proofErr w:type="spellEnd"/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 правовой информации http://www.pravo.gov.ru - 29.01.2019).</w:t>
      </w:r>
      <w:proofErr w:type="gramEnd"/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Таким образом,  налоговая  декларации по налогу на добавленную стоимость с изменениями, внесенными в нее Приказом № СА-7-3/853@, представляется налогоплательщиками налога на добавленную стоимость, а также лицами, указанными  в пункте 5 статьи 173 Налогового кодекса Российской Федерации, начиная с налогового периода за первый квартал 2019 года.</w:t>
      </w:r>
      <w:proofErr w:type="gramEnd"/>
    </w:p>
    <w:p w:rsidR="003C0A99" w:rsidRPr="003C0A99" w:rsidRDefault="003C0A99" w:rsidP="003C0A99">
      <w:pPr>
        <w:shd w:val="clear" w:color="auto" w:fill="FFFFFF"/>
        <w:spacing w:after="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2. </w:t>
      </w:r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В связи с вступлением в силу 29.03.2019 Приказа № СА-7-3/853@ ФНС России сообщает, что пункты 1.4, 1.7, 1.8, 1.23, 1.25 - 1.27, 1.35, 1.39  Контрольных соотношений показателей налоговой декларации по налогу на добавленную стоимость, утвержденной приказом ФНС России от 29.10.2014 № ММВ-7-3/558@,  доведенных до налоговых органов письмом ФНС России от 23.03.2015 </w:t>
      </w:r>
      <w:hyperlink r:id="rId5" w:history="1">
        <w:r w:rsidRPr="003C0A99">
          <w:rPr>
            <w:rFonts w:ascii="Arial" w:eastAsia="Times New Roman" w:hAnsi="Arial" w:cs="Arial"/>
            <w:color w:val="000000"/>
            <w:sz w:val="19"/>
          </w:rPr>
          <w:t>№ ГД-4-3/4550@</w:t>
        </w:r>
      </w:hyperlink>
      <w:r w:rsidRPr="003C0A99">
        <w:rPr>
          <w:rFonts w:ascii="Arial" w:eastAsia="Times New Roman" w:hAnsi="Arial" w:cs="Arial"/>
          <w:color w:val="0A0A0A"/>
          <w:sz w:val="19"/>
          <w:szCs w:val="19"/>
        </w:rPr>
        <w:t>, а также новые пункты 1.45 – 1.54 указанных Контрольных</w:t>
      </w:r>
      <w:proofErr w:type="gramEnd"/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 соотношений излагаются  в редакции согласно приложению к настоящему письму.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 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Приложение:  титульный лист контрольных соотношений в формате </w:t>
      </w:r>
      <w:proofErr w:type="spell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Ехс</w:t>
      </w:r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el</w:t>
      </w:r>
      <w:proofErr w:type="spellEnd"/>
      <w:proofErr w:type="gramEnd"/>
      <w:r w:rsidRPr="003C0A99">
        <w:rPr>
          <w:rFonts w:ascii="Arial" w:eastAsia="Times New Roman" w:hAnsi="Arial" w:cs="Arial"/>
          <w:color w:val="0A0A0A"/>
          <w:sz w:val="19"/>
          <w:szCs w:val="19"/>
        </w:rPr>
        <w:t>;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                         пункты 1.4, 1.7, 1.8, 1.23, 1.25 - 1.27, 1.35, 1.39, 1.45 – 1.54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                         контрольных соотношений в  формате </w:t>
      </w:r>
      <w:proofErr w:type="spellStart"/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Ех</w:t>
      </w:r>
      <w:proofErr w:type="gramEnd"/>
      <w:r w:rsidRPr="003C0A99">
        <w:rPr>
          <w:rFonts w:ascii="Arial" w:eastAsia="Times New Roman" w:hAnsi="Arial" w:cs="Arial"/>
          <w:color w:val="0A0A0A"/>
          <w:sz w:val="19"/>
          <w:szCs w:val="19"/>
        </w:rPr>
        <w:t>cel</w:t>
      </w:r>
      <w:proofErr w:type="spellEnd"/>
      <w:r w:rsidRPr="003C0A99">
        <w:rPr>
          <w:rFonts w:ascii="Arial" w:eastAsia="Times New Roman" w:hAnsi="Arial" w:cs="Arial"/>
          <w:color w:val="0A0A0A"/>
          <w:sz w:val="19"/>
          <w:szCs w:val="19"/>
        </w:rPr>
        <w:t>;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 xml:space="preserve">                         справочник сокращений в формате </w:t>
      </w:r>
      <w:proofErr w:type="spellStart"/>
      <w:proofErr w:type="gramStart"/>
      <w:r w:rsidRPr="003C0A99">
        <w:rPr>
          <w:rFonts w:ascii="Arial" w:eastAsia="Times New Roman" w:hAnsi="Arial" w:cs="Arial"/>
          <w:color w:val="0A0A0A"/>
          <w:sz w:val="19"/>
          <w:szCs w:val="19"/>
        </w:rPr>
        <w:t>Ех</w:t>
      </w:r>
      <w:proofErr w:type="gramEnd"/>
      <w:r w:rsidRPr="003C0A99">
        <w:rPr>
          <w:rFonts w:ascii="Arial" w:eastAsia="Times New Roman" w:hAnsi="Arial" w:cs="Arial"/>
          <w:color w:val="0A0A0A"/>
          <w:sz w:val="19"/>
          <w:szCs w:val="19"/>
        </w:rPr>
        <w:t>cel</w:t>
      </w:r>
      <w:proofErr w:type="spellEnd"/>
      <w:r w:rsidRPr="003C0A99">
        <w:rPr>
          <w:rFonts w:ascii="Arial" w:eastAsia="Times New Roman" w:hAnsi="Arial" w:cs="Arial"/>
          <w:color w:val="0A0A0A"/>
          <w:sz w:val="19"/>
          <w:szCs w:val="19"/>
        </w:rPr>
        <w:t>.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 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 </w:t>
      </w:r>
    </w:p>
    <w:p w:rsidR="003C0A99" w:rsidRPr="003C0A99" w:rsidRDefault="003C0A99" w:rsidP="003C0A99">
      <w:pPr>
        <w:shd w:val="clear" w:color="auto" w:fill="FFFFFF"/>
        <w:spacing w:before="160" w:after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Действительный государственный советник</w:t>
      </w:r>
    </w:p>
    <w:p w:rsidR="003C0A99" w:rsidRPr="003C0A99" w:rsidRDefault="003C0A99" w:rsidP="003C0A99">
      <w:pPr>
        <w:shd w:val="clear" w:color="auto" w:fill="FFFFFF"/>
        <w:spacing w:before="160" w:line="290" w:lineRule="atLeast"/>
        <w:textAlignment w:val="baseline"/>
        <w:rPr>
          <w:rFonts w:ascii="Arial" w:eastAsia="Times New Roman" w:hAnsi="Arial" w:cs="Arial"/>
          <w:color w:val="0A0A0A"/>
          <w:sz w:val="19"/>
          <w:szCs w:val="19"/>
        </w:rPr>
      </w:pPr>
      <w:r w:rsidRPr="003C0A99">
        <w:rPr>
          <w:rFonts w:ascii="Arial" w:eastAsia="Times New Roman" w:hAnsi="Arial" w:cs="Arial"/>
          <w:color w:val="0A0A0A"/>
          <w:sz w:val="19"/>
          <w:szCs w:val="19"/>
        </w:rPr>
        <w:t>Российской Федерации 2 класса                                                                      Д.С. Сатин</w:t>
      </w:r>
    </w:p>
    <w:p w:rsidR="003C0A99" w:rsidRDefault="003C0A99"/>
    <w:sectPr w:rsidR="003C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C0A99"/>
    <w:rsid w:val="003C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A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erk.ru/doc/478838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snagovskaya_oa</dc:creator>
  <cp:keywords/>
  <dc:description/>
  <cp:lastModifiedBy>snagovskaya_oa</cp:lastModifiedBy>
  <cp:revision>2</cp:revision>
  <dcterms:created xsi:type="dcterms:W3CDTF">2019-03-26T08:11:00Z</dcterms:created>
  <dcterms:modified xsi:type="dcterms:W3CDTF">2019-03-26T08:36:00Z</dcterms:modified>
</cp:coreProperties>
</file>